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D6DD" w14:textId="148FE2AF" w:rsidR="008E22A4" w:rsidRDefault="00073B35">
      <w:r>
        <w:rPr>
          <w:noProof/>
        </w:rPr>
        <mc:AlternateContent>
          <mc:Choice Requires="wps">
            <w:drawing>
              <wp:anchor distT="0" distB="0" distL="114300" distR="114300" simplePos="0" relativeHeight="251662336" behindDoc="0" locked="0" layoutInCell="1" allowOverlap="1" wp14:anchorId="0DB9C932" wp14:editId="04EA8A9A">
                <wp:simplePos x="0" y="0"/>
                <wp:positionH relativeFrom="column">
                  <wp:posOffset>2920967</wp:posOffset>
                </wp:positionH>
                <wp:positionV relativeFrom="paragraph">
                  <wp:posOffset>119982</wp:posOffset>
                </wp:positionV>
                <wp:extent cx="3917315" cy="942975"/>
                <wp:effectExtent l="0" t="0" r="0" b="0"/>
                <wp:wrapNone/>
                <wp:docPr id="92168694" name="Text Box 3"/>
                <wp:cNvGraphicFramePr/>
                <a:graphic xmlns:a="http://schemas.openxmlformats.org/drawingml/2006/main">
                  <a:graphicData uri="http://schemas.microsoft.com/office/word/2010/wordprocessingShape">
                    <wps:wsp>
                      <wps:cNvSpPr txBox="1"/>
                      <wps:spPr>
                        <a:xfrm>
                          <a:off x="0" y="0"/>
                          <a:ext cx="3917315" cy="942975"/>
                        </a:xfrm>
                        <a:prstGeom prst="rect">
                          <a:avLst/>
                        </a:prstGeom>
                        <a:solidFill>
                          <a:schemeClr val="lt1"/>
                        </a:solidFill>
                        <a:ln w="6350">
                          <a:noFill/>
                        </a:ln>
                      </wps:spPr>
                      <wps:txbx>
                        <w:txbxContent>
                          <w:p w14:paraId="1E4CE26C" w14:textId="3FA42246" w:rsidR="008E22A4" w:rsidRPr="008E22A4" w:rsidRDefault="008E22A4" w:rsidP="008E22A4">
                            <w:pPr>
                              <w:jc w:val="right"/>
                              <w:rPr>
                                <w:rFonts w:ascii="Lato" w:hAnsi="Lato"/>
                                <w:b/>
                                <w:bCs/>
                                <w:color w:val="0AC775"/>
                                <w:sz w:val="52"/>
                                <w:szCs w:val="52"/>
                              </w:rPr>
                            </w:pPr>
                            <w:r w:rsidRPr="008E22A4">
                              <w:rPr>
                                <w:rFonts w:ascii="Lato" w:hAnsi="Lato"/>
                                <w:b/>
                                <w:bCs/>
                                <w:color w:val="0AC775"/>
                                <w:sz w:val="52"/>
                                <w:szCs w:val="52"/>
                              </w:rPr>
                              <w:t>C</w:t>
                            </w:r>
                            <w:r w:rsidR="00073B35">
                              <w:rPr>
                                <w:rFonts w:ascii="Lato" w:hAnsi="Lato"/>
                                <w:b/>
                                <w:bCs/>
                                <w:color w:val="0AC775"/>
                                <w:sz w:val="52"/>
                                <w:szCs w:val="52"/>
                              </w:rPr>
                              <w:t>onference</w:t>
                            </w:r>
                            <w:r w:rsidRPr="008E22A4">
                              <w:rPr>
                                <w:rFonts w:ascii="Lato" w:hAnsi="Lato"/>
                                <w:b/>
                                <w:bCs/>
                                <w:color w:val="0AC775"/>
                                <w:sz w:val="52"/>
                                <w:szCs w:val="52"/>
                              </w:rPr>
                              <w:t xml:space="preserve"> </w:t>
                            </w:r>
                            <w:r w:rsidR="00073B35">
                              <w:rPr>
                                <w:rFonts w:ascii="Lato" w:hAnsi="Lato"/>
                                <w:b/>
                                <w:bCs/>
                                <w:color w:val="0AC775"/>
                                <w:sz w:val="52"/>
                                <w:szCs w:val="52"/>
                              </w:rPr>
                              <w:t>Benefits &amp; Justification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B9C932" id="_x0000_t202" coordsize="21600,21600" o:spt="202" path="m,l,21600r21600,l21600,xe">
                <v:stroke joinstyle="miter"/>
                <v:path gradientshapeok="t" o:connecttype="rect"/>
              </v:shapetype>
              <v:shape id="Text Box 3" o:spid="_x0000_s1026" type="#_x0000_t202" style="position:absolute;margin-left:230pt;margin-top:9.45pt;width:308.45pt;height:7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" fillcolor="white [3201]" stroked="f" strokeweight=".5pt">
                <v:textbox>
                  <w:txbxContent>
                    <w:p w14:paraId="1E4CE26C" w14:textId="3FA42246" w:rsidR="008E22A4" w:rsidRPr="008E22A4" w:rsidRDefault="008E22A4" w:rsidP="008E22A4">
                      <w:pPr>
                        <w:jc w:val="right"/>
                        <w:rPr>
                          <w:rFonts w:ascii="Lato" w:hAnsi="Lato"/>
                          <w:b/>
                          <w:bCs/>
                          <w:color w:val="0AC775"/>
                          <w:sz w:val="52"/>
                          <w:szCs w:val="52"/>
                        </w:rPr>
                      </w:pPr>
                      <w:r w:rsidRPr="008E22A4">
                        <w:rPr>
                          <w:rFonts w:ascii="Lato" w:hAnsi="Lato"/>
                          <w:b/>
                          <w:bCs/>
                          <w:color w:val="0AC775"/>
                          <w:sz w:val="52"/>
                          <w:szCs w:val="52"/>
                        </w:rPr>
                        <w:t>C</w:t>
                      </w:r>
                      <w:r w:rsidR="00073B35">
                        <w:rPr>
                          <w:rFonts w:ascii="Lato" w:hAnsi="Lato"/>
                          <w:b/>
                          <w:bCs/>
                          <w:color w:val="0AC775"/>
                          <w:sz w:val="52"/>
                          <w:szCs w:val="52"/>
                        </w:rPr>
                        <w:t>onference</w:t>
                      </w:r>
                      <w:r w:rsidRPr="008E22A4">
                        <w:rPr>
                          <w:rFonts w:ascii="Lato" w:hAnsi="Lato"/>
                          <w:b/>
                          <w:bCs/>
                          <w:color w:val="0AC775"/>
                          <w:sz w:val="52"/>
                          <w:szCs w:val="52"/>
                        </w:rPr>
                        <w:t xml:space="preserve"> </w:t>
                      </w:r>
                      <w:r w:rsidR="00073B35">
                        <w:rPr>
                          <w:rFonts w:ascii="Lato" w:hAnsi="Lato"/>
                          <w:b/>
                          <w:bCs/>
                          <w:color w:val="0AC775"/>
                          <w:sz w:val="52"/>
                          <w:szCs w:val="52"/>
                        </w:rPr>
                        <w:t>Benefits &amp; Justification Letter</w:t>
                      </w:r>
                    </w:p>
                  </w:txbxContent>
                </v:textbox>
              </v:shape>
            </w:pict>
          </mc:Fallback>
        </mc:AlternateContent>
      </w:r>
      <w:r w:rsidR="008E22A4">
        <w:rPr>
          <w:noProof/>
        </w:rPr>
        <w:drawing>
          <wp:anchor distT="0" distB="0" distL="114300" distR="114300" simplePos="0" relativeHeight="251661312" behindDoc="0" locked="0" layoutInCell="1" allowOverlap="1" wp14:anchorId="03ACE8AB" wp14:editId="778A018B">
            <wp:simplePos x="0" y="0"/>
            <wp:positionH relativeFrom="column">
              <wp:posOffset>330835</wp:posOffset>
            </wp:positionH>
            <wp:positionV relativeFrom="paragraph">
              <wp:posOffset>-124460</wp:posOffset>
            </wp:positionV>
            <wp:extent cx="1962785" cy="1308735"/>
            <wp:effectExtent l="0" t="0" r="0" b="0"/>
            <wp:wrapNone/>
            <wp:docPr id="782974875" name="Picture 2" descr="A logo with a green circle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74875" name="Picture 2" descr="A logo with a green circle and grey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785" cy="1308735"/>
                    </a:xfrm>
                    <a:prstGeom prst="rect">
                      <a:avLst/>
                    </a:prstGeom>
                  </pic:spPr>
                </pic:pic>
              </a:graphicData>
            </a:graphic>
            <wp14:sizeRelH relativeFrom="page">
              <wp14:pctWidth>0</wp14:pctWidth>
            </wp14:sizeRelH>
            <wp14:sizeRelV relativeFrom="page">
              <wp14:pctHeight>0</wp14:pctHeight>
            </wp14:sizeRelV>
          </wp:anchor>
        </w:drawing>
      </w:r>
    </w:p>
    <w:p w14:paraId="12308266" w14:textId="66593756" w:rsidR="008E22A4" w:rsidRDefault="008E22A4"/>
    <w:p w14:paraId="302BA372" w14:textId="1912A498" w:rsidR="008E22A4" w:rsidRDefault="008E22A4"/>
    <w:p w14:paraId="08AF0F78" w14:textId="0759BCED" w:rsidR="008E22A4" w:rsidRDefault="008E22A4"/>
    <w:p w14:paraId="41CC3432" w14:textId="07A1BCF7" w:rsidR="008E22A4" w:rsidRDefault="008E22A4"/>
    <w:p w14:paraId="7347F39F" w14:textId="25A8430D" w:rsidR="008E22A4" w:rsidRDefault="00073B35">
      <w:pPr>
        <w:pBdr>
          <w:bottom w:val="single" w:sz="12" w:space="1" w:color="auto"/>
        </w:pBdr>
        <w:rPr>
          <w:b/>
          <w:bCs/>
        </w:rPr>
      </w:pPr>
      <w:r>
        <w:rPr>
          <w:b/>
          <w:bCs/>
        </w:rPr>
        <w:t>Following, we’ve provided a template for a Conference Benefits &amp; Justification Letter that you can utilize to share during your approval request to attend the 2026 conference.  Feel free to edit or adjust the content of this letter as needed for your specific bank processes.</w:t>
      </w:r>
    </w:p>
    <w:p w14:paraId="5EDE164B" w14:textId="77777777" w:rsidR="00073B35" w:rsidRDefault="00073B35">
      <w:pPr>
        <w:pBdr>
          <w:bottom w:val="single" w:sz="12" w:space="1" w:color="auto"/>
        </w:pBdr>
        <w:rPr>
          <w:b/>
          <w:bCs/>
        </w:rPr>
      </w:pPr>
    </w:p>
    <w:p w14:paraId="29B64D37" w14:textId="77777777" w:rsidR="00073B35" w:rsidRDefault="00073B35">
      <w:pPr>
        <w:rPr>
          <w:b/>
          <w:bCs/>
        </w:rPr>
      </w:pPr>
    </w:p>
    <w:p w14:paraId="5F7636E0" w14:textId="70A6CA30" w:rsidR="008E22A4" w:rsidRDefault="00073B35" w:rsidP="008E22A4">
      <w:pPr>
        <w:jc w:val="both"/>
      </w:pPr>
      <w:r>
        <w:t xml:space="preserve">Hi, </w:t>
      </w:r>
      <w:r w:rsidRPr="00E9141D">
        <w:rPr>
          <w:color w:val="0AC775"/>
        </w:rPr>
        <w:t>[</w:t>
      </w:r>
      <w:r w:rsidR="00273EDC">
        <w:rPr>
          <w:color w:val="0AC775"/>
        </w:rPr>
        <w:t>Insert Manager’s Name</w:t>
      </w:r>
      <w:r w:rsidRPr="00E9141D">
        <w:rPr>
          <w:color w:val="0AC775"/>
        </w:rPr>
        <w:t>],</w:t>
      </w:r>
    </w:p>
    <w:p w14:paraId="47617DDB" w14:textId="382C0220" w:rsidR="00073B35" w:rsidRDefault="00073B35" w:rsidP="008E22A4">
      <w:pPr>
        <w:jc w:val="both"/>
      </w:pPr>
      <w:r>
        <w:t>I’d like to request approval to attend the findCRA FOCUS 2026 conference.  This conference is a great opportunity to build my CRA expertise and knowledge through a virtual conference event.  The conference will be held online on September 22 &amp; 23, 2026.</w:t>
      </w:r>
    </w:p>
    <w:p w14:paraId="4E88C68F" w14:textId="5C889FA5" w:rsidR="00073B35" w:rsidRDefault="00073B35" w:rsidP="008E22A4">
      <w:pPr>
        <w:jc w:val="both"/>
        <w:rPr>
          <w:b/>
          <w:bCs/>
        </w:rPr>
      </w:pPr>
      <w:r>
        <w:rPr>
          <w:b/>
          <w:bCs/>
        </w:rPr>
        <w:t xml:space="preserve">What </w:t>
      </w:r>
      <w:r w:rsidR="00E9141D">
        <w:rPr>
          <w:b/>
          <w:bCs/>
        </w:rPr>
        <w:t xml:space="preserve">Will I </w:t>
      </w:r>
      <w:r>
        <w:rPr>
          <w:b/>
          <w:bCs/>
        </w:rPr>
        <w:t>Learn</w:t>
      </w:r>
      <w:r w:rsidR="00E9141D">
        <w:rPr>
          <w:b/>
          <w:bCs/>
        </w:rPr>
        <w:t>?</w:t>
      </w:r>
    </w:p>
    <w:p w14:paraId="592D4D5D" w14:textId="3B9401C9" w:rsidR="00073B35" w:rsidRDefault="00073B35" w:rsidP="008E22A4">
      <w:pPr>
        <w:jc w:val="both"/>
      </w:pPr>
      <w:r>
        <w:t xml:space="preserve">During the two-day </w:t>
      </w:r>
      <w:r w:rsidR="00E9141D">
        <w:t xml:space="preserve">virtual </w:t>
      </w:r>
      <w:r>
        <w:t xml:space="preserve">conference, CRA subject matter experts from findCRA and panelists who are other bankers, CRA practitioners, and industry thought leaders will provide practical, real world guidance on how best to manage CRA and ensure that we’re identifying </w:t>
      </w:r>
      <w:r w:rsidR="00273EDC">
        <w:t>the many</w:t>
      </w:r>
      <w:r>
        <w:t xml:space="preserve"> ways we can earn CRA credit.  findCRA FOCUS 2026 will provide in-depth </w:t>
      </w:r>
      <w:r w:rsidR="00273EDC">
        <w:t xml:space="preserve">and practical </w:t>
      </w:r>
      <w:r>
        <w:t xml:space="preserve">discussions on how to </w:t>
      </w:r>
      <w:r w:rsidR="00E9141D">
        <w:t>enhance</w:t>
      </w:r>
      <w:r>
        <w:t xml:space="preserve"> our CRA program, analyze CRA data, and </w:t>
      </w:r>
      <w:r w:rsidR="00273EDC">
        <w:t>help prepare</w:t>
      </w:r>
      <w:r>
        <w:t xml:space="preserve"> for our next exam.</w:t>
      </w:r>
    </w:p>
    <w:p w14:paraId="4CA42C31" w14:textId="255C5339" w:rsidR="00073B35" w:rsidRDefault="00073B35" w:rsidP="008E22A4">
      <w:pPr>
        <w:jc w:val="both"/>
      </w:pPr>
      <w:r>
        <w:t>There are a variety of sessions that will be dedicated to important CRA components, including:</w:t>
      </w:r>
    </w:p>
    <w:p w14:paraId="0A218FEF" w14:textId="1B37D13A" w:rsidR="00073B35" w:rsidRDefault="00073B35" w:rsidP="00073B35">
      <w:pPr>
        <w:pStyle w:val="ListParagraph"/>
        <w:numPr>
          <w:ilvl w:val="0"/>
          <w:numId w:val="1"/>
        </w:numPr>
        <w:jc w:val="both"/>
      </w:pPr>
      <w:r>
        <w:t>Maximizing community development credit through identifying and documenting activities</w:t>
      </w:r>
    </w:p>
    <w:p w14:paraId="221B96D1" w14:textId="3A8F800D" w:rsidR="00073B35" w:rsidRDefault="00073B35" w:rsidP="00073B35">
      <w:pPr>
        <w:pStyle w:val="ListParagraph"/>
        <w:numPr>
          <w:ilvl w:val="0"/>
          <w:numId w:val="1"/>
        </w:numPr>
        <w:jc w:val="both"/>
      </w:pPr>
      <w:r>
        <w:t>Building responsive community partnerships</w:t>
      </w:r>
    </w:p>
    <w:p w14:paraId="0D831E2A" w14:textId="2EDF7A33" w:rsidR="00073B35" w:rsidRDefault="00073B35" w:rsidP="00073B35">
      <w:pPr>
        <w:pStyle w:val="ListParagraph"/>
        <w:numPr>
          <w:ilvl w:val="0"/>
          <w:numId w:val="1"/>
        </w:numPr>
        <w:jc w:val="both"/>
      </w:pPr>
      <w:r>
        <w:t>Innovative CRA investment and financing</w:t>
      </w:r>
    </w:p>
    <w:p w14:paraId="4C481DA4" w14:textId="3093972F" w:rsidR="00073B35" w:rsidRDefault="00073B35" w:rsidP="00073B35">
      <w:pPr>
        <w:pStyle w:val="ListParagraph"/>
        <w:numPr>
          <w:ilvl w:val="0"/>
          <w:numId w:val="1"/>
        </w:numPr>
        <w:jc w:val="both"/>
      </w:pPr>
      <w:r>
        <w:t>Evaluating and monitoring lending performance</w:t>
      </w:r>
    </w:p>
    <w:p w14:paraId="24349882" w14:textId="1A1514BA" w:rsidR="00073B35" w:rsidRDefault="00073B35" w:rsidP="00073B35">
      <w:pPr>
        <w:pStyle w:val="ListParagraph"/>
        <w:numPr>
          <w:ilvl w:val="0"/>
          <w:numId w:val="1"/>
        </w:numPr>
        <w:jc w:val="both"/>
      </w:pPr>
      <w:r>
        <w:t>Building performance context</w:t>
      </w:r>
    </w:p>
    <w:p w14:paraId="4F45B61C" w14:textId="0E721266" w:rsidR="00E9141D" w:rsidRDefault="00073B35" w:rsidP="008E22A4">
      <w:pPr>
        <w:pStyle w:val="ListParagraph"/>
        <w:numPr>
          <w:ilvl w:val="0"/>
          <w:numId w:val="1"/>
        </w:numPr>
        <w:jc w:val="both"/>
      </w:pPr>
      <w:r>
        <w:t>Assessing CRA performance to be exam ready</w:t>
      </w:r>
    </w:p>
    <w:p w14:paraId="25FB90D6" w14:textId="7864D4D4" w:rsidR="00073B35" w:rsidRDefault="00073B35" w:rsidP="008E22A4">
      <w:pPr>
        <w:jc w:val="both"/>
        <w:rPr>
          <w:b/>
          <w:bCs/>
        </w:rPr>
      </w:pPr>
      <w:r>
        <w:rPr>
          <w:b/>
          <w:bCs/>
        </w:rPr>
        <w:t xml:space="preserve">Why </w:t>
      </w:r>
      <w:r w:rsidR="00E9141D">
        <w:rPr>
          <w:b/>
          <w:bCs/>
        </w:rPr>
        <w:t>This</w:t>
      </w:r>
      <w:r>
        <w:rPr>
          <w:b/>
          <w:bCs/>
        </w:rPr>
        <w:t xml:space="preserve"> Conference</w:t>
      </w:r>
      <w:r w:rsidR="00E9141D">
        <w:rPr>
          <w:b/>
          <w:bCs/>
        </w:rPr>
        <w:t>?</w:t>
      </w:r>
    </w:p>
    <w:p w14:paraId="514775B6" w14:textId="35EAE4C6" w:rsidR="00073B35" w:rsidRDefault="00073B35" w:rsidP="00073B35">
      <w:pPr>
        <w:pStyle w:val="ListParagraph"/>
        <w:numPr>
          <w:ilvl w:val="0"/>
          <w:numId w:val="2"/>
        </w:numPr>
        <w:jc w:val="both"/>
      </w:pPr>
      <w:r w:rsidRPr="00E9141D">
        <w:rPr>
          <w:b/>
          <w:bCs/>
        </w:rPr>
        <w:t>It’s virtual!</w:t>
      </w:r>
      <w:r>
        <w:t xml:space="preserve">  I won’t have to be out of the office to attend </w:t>
      </w:r>
      <w:r w:rsidR="00E9141D">
        <w:t xml:space="preserve">the conference </w:t>
      </w:r>
      <w:r>
        <w:t xml:space="preserve">and won’t lose days traveling </w:t>
      </w:r>
      <w:r w:rsidR="00E9141D">
        <w:t>back and forth</w:t>
      </w:r>
      <w:r>
        <w:t xml:space="preserve">.  No </w:t>
      </w:r>
      <w:r w:rsidR="00E9141D">
        <w:t>airfare</w:t>
      </w:r>
      <w:r>
        <w:t xml:space="preserve">, no hotels, no </w:t>
      </w:r>
      <w:r w:rsidR="00E9141D">
        <w:t>travel meals</w:t>
      </w:r>
      <w:r>
        <w:t xml:space="preserve">.  I can expand my CRA knowledge without </w:t>
      </w:r>
      <w:r w:rsidR="00E9141D">
        <w:t>leaving</w:t>
      </w:r>
      <w:r>
        <w:t xml:space="preserve"> the office.</w:t>
      </w:r>
    </w:p>
    <w:p w14:paraId="731E91F9" w14:textId="1435325B" w:rsidR="00073B35" w:rsidRDefault="00073B35" w:rsidP="00073B35">
      <w:pPr>
        <w:pStyle w:val="ListParagraph"/>
        <w:jc w:val="both"/>
      </w:pPr>
    </w:p>
    <w:p w14:paraId="4E73CE22" w14:textId="5F4A0C55" w:rsidR="00073B35" w:rsidRDefault="00073B35" w:rsidP="00073B35">
      <w:pPr>
        <w:pStyle w:val="ListParagraph"/>
        <w:numPr>
          <w:ilvl w:val="0"/>
          <w:numId w:val="2"/>
        </w:numPr>
        <w:jc w:val="both"/>
      </w:pPr>
      <w:r w:rsidRPr="00E9141D">
        <w:rPr>
          <w:b/>
          <w:bCs/>
        </w:rPr>
        <w:lastRenderedPageBreak/>
        <w:t>It’s packed full of CRA knowledge</w:t>
      </w:r>
      <w:r w:rsidR="00E9141D" w:rsidRPr="00E9141D">
        <w:rPr>
          <w:b/>
          <w:bCs/>
        </w:rPr>
        <w:t>!</w:t>
      </w:r>
      <w:r>
        <w:t xml:space="preserve">  The general sessions will cover </w:t>
      </w:r>
      <w:r w:rsidR="00273EDC">
        <w:t>several</w:t>
      </w:r>
      <w:r>
        <w:t xml:space="preserve"> CRA concepts that I need to know </w:t>
      </w:r>
      <w:r w:rsidR="00E9141D">
        <w:t>in my role</w:t>
      </w:r>
      <w:r>
        <w:t xml:space="preserve"> and </w:t>
      </w:r>
      <w:r w:rsidR="00E9141D">
        <w:t xml:space="preserve">to </w:t>
      </w:r>
      <w:r>
        <w:t xml:space="preserve">support the bank’s CRA program.  I’ll get to hear from </w:t>
      </w:r>
      <w:r w:rsidR="00273EDC">
        <w:t>subject matter</w:t>
      </w:r>
      <w:r>
        <w:t xml:space="preserve"> experts at findCRA as well as other bankers and </w:t>
      </w:r>
      <w:r w:rsidR="00E9141D">
        <w:t xml:space="preserve">industry </w:t>
      </w:r>
      <w:r>
        <w:t>though</w:t>
      </w:r>
      <w:r w:rsidR="00E9141D">
        <w:t>t</w:t>
      </w:r>
      <w:r>
        <w:t xml:space="preserve"> leaders about </w:t>
      </w:r>
      <w:r w:rsidR="00273EDC">
        <w:t xml:space="preserve">efficiently </w:t>
      </w:r>
      <w:r w:rsidR="00E9141D">
        <w:t>manag</w:t>
      </w:r>
      <w:r w:rsidR="00273EDC">
        <w:t>ing</w:t>
      </w:r>
      <w:r w:rsidR="00E9141D">
        <w:t xml:space="preserve"> a</w:t>
      </w:r>
      <w:r>
        <w:t xml:space="preserve"> </w:t>
      </w:r>
      <w:r w:rsidR="00273EDC">
        <w:t xml:space="preserve">strong and compliant </w:t>
      </w:r>
      <w:r>
        <w:t xml:space="preserve">CRA program and </w:t>
      </w:r>
      <w:r w:rsidR="00273EDC">
        <w:t>glean insights to implement for our CRA strategy.</w:t>
      </w:r>
    </w:p>
    <w:p w14:paraId="7A506F57" w14:textId="77777777" w:rsidR="00E9141D" w:rsidRDefault="00E9141D" w:rsidP="00E9141D">
      <w:pPr>
        <w:pStyle w:val="ListParagraph"/>
        <w:jc w:val="both"/>
      </w:pPr>
    </w:p>
    <w:p w14:paraId="66B84E8E" w14:textId="3B419102" w:rsidR="00073B35" w:rsidRDefault="00E9141D" w:rsidP="00073B35">
      <w:pPr>
        <w:pStyle w:val="ListParagraph"/>
        <w:numPr>
          <w:ilvl w:val="0"/>
          <w:numId w:val="2"/>
        </w:numPr>
        <w:jc w:val="both"/>
      </w:pPr>
      <w:r w:rsidRPr="00E9141D">
        <w:rPr>
          <w:b/>
          <w:bCs/>
        </w:rPr>
        <w:t>It’s practical</w:t>
      </w:r>
      <w:r>
        <w:rPr>
          <w:b/>
          <w:bCs/>
        </w:rPr>
        <w:t xml:space="preserve"> knowledge</w:t>
      </w:r>
      <w:r w:rsidRPr="00E9141D">
        <w:rPr>
          <w:b/>
          <w:bCs/>
        </w:rPr>
        <w:t>!</w:t>
      </w:r>
      <w:r>
        <w:rPr>
          <w:b/>
          <w:bCs/>
        </w:rPr>
        <w:t xml:space="preserve"> </w:t>
      </w:r>
      <w:r>
        <w:t xml:space="preserve">Rather than higher level discussions about CRA concepts and methodology, this conference is designed to provide actual case studies, real world examples, and practical guidance that I can take away and begin to implement immediately to </w:t>
      </w:r>
      <w:r w:rsidR="00273EDC">
        <w:t>support the bank’s success at</w:t>
      </w:r>
      <w:r>
        <w:t xml:space="preserve"> our next CRA examination.</w:t>
      </w:r>
    </w:p>
    <w:p w14:paraId="7BD92C0E" w14:textId="77777777" w:rsidR="00E9141D" w:rsidRDefault="00E9141D" w:rsidP="00E9141D">
      <w:pPr>
        <w:pStyle w:val="ListParagraph"/>
        <w:jc w:val="both"/>
      </w:pPr>
    </w:p>
    <w:p w14:paraId="70F45EAF" w14:textId="0926D8FD" w:rsidR="00E9141D" w:rsidRDefault="00E9141D" w:rsidP="00073B35">
      <w:pPr>
        <w:pStyle w:val="ListParagraph"/>
        <w:numPr>
          <w:ilvl w:val="0"/>
          <w:numId w:val="2"/>
        </w:numPr>
        <w:jc w:val="both"/>
      </w:pPr>
      <w:r w:rsidRPr="00E9141D">
        <w:rPr>
          <w:b/>
          <w:bCs/>
        </w:rPr>
        <w:t>It’s affordable!</w:t>
      </w:r>
      <w:r>
        <w:t xml:space="preserve"> It’s only </w:t>
      </w:r>
      <w:r w:rsidRPr="00E9141D">
        <w:rPr>
          <w:color w:val="0AC775"/>
        </w:rPr>
        <w:t xml:space="preserve">[$649 or $799] </w:t>
      </w:r>
      <w:r>
        <w:t xml:space="preserve">for me to attend the full two-day </w:t>
      </w:r>
      <w:r w:rsidR="00273EDC">
        <w:t>conference</w:t>
      </w:r>
      <w:r>
        <w:t xml:space="preserve">, including all general sessions, panel discussions, and even optional sessions.  </w:t>
      </w:r>
      <w:r w:rsidRPr="00E9141D">
        <w:rPr>
          <w:color w:val="0AC775"/>
        </w:rPr>
        <w:t>[As a findCRA customer, we even get a discounted rate of $649 to attend.]</w:t>
      </w:r>
    </w:p>
    <w:p w14:paraId="29ADAEA6" w14:textId="77777777" w:rsidR="00E9141D" w:rsidRDefault="00E9141D" w:rsidP="00E9141D">
      <w:pPr>
        <w:pStyle w:val="ListParagraph"/>
      </w:pPr>
    </w:p>
    <w:p w14:paraId="10EB306E" w14:textId="32D0BF52" w:rsidR="00E9141D" w:rsidRDefault="00E9141D" w:rsidP="00E9141D">
      <w:pPr>
        <w:jc w:val="both"/>
      </w:pPr>
      <w:r>
        <w:t xml:space="preserve">If you’d like to see more about the findCRA FOCUS 2026, you can visit the conference website here.  I appreciate your considering me to attend this virtual conference, as I think it will help me to build my CRA knowledge.  </w:t>
      </w:r>
    </w:p>
    <w:p w14:paraId="31F5FA9E" w14:textId="77777777" w:rsidR="00E9141D" w:rsidRDefault="00E9141D" w:rsidP="00E9141D">
      <w:pPr>
        <w:jc w:val="both"/>
      </w:pPr>
    </w:p>
    <w:p w14:paraId="3B663E5C" w14:textId="52D8B942" w:rsidR="00E9141D" w:rsidRDefault="00E9141D" w:rsidP="00E9141D">
      <w:pPr>
        <w:jc w:val="both"/>
      </w:pPr>
      <w:r>
        <w:t>Sincerely,</w:t>
      </w:r>
    </w:p>
    <w:p w14:paraId="68CD4FFB" w14:textId="0C61CB10" w:rsidR="00E9141D" w:rsidRPr="00E9141D" w:rsidRDefault="00E9141D" w:rsidP="00E9141D">
      <w:pPr>
        <w:jc w:val="both"/>
        <w:rPr>
          <w:color w:val="0AC775"/>
        </w:rPr>
      </w:pPr>
      <w:r w:rsidRPr="00E9141D">
        <w:rPr>
          <w:color w:val="0AC775"/>
        </w:rPr>
        <w:t>[Your Name]</w:t>
      </w:r>
    </w:p>
    <w:p w14:paraId="0DB7E325" w14:textId="4817800B" w:rsidR="00E9141D" w:rsidRPr="00E9141D" w:rsidRDefault="00E9141D" w:rsidP="00E9141D">
      <w:pPr>
        <w:jc w:val="both"/>
        <w:rPr>
          <w:color w:val="0AC775"/>
        </w:rPr>
      </w:pPr>
      <w:r w:rsidRPr="00E9141D">
        <w:rPr>
          <w:color w:val="0AC775"/>
        </w:rPr>
        <w:t>[Your Title]</w:t>
      </w:r>
    </w:p>
    <w:p w14:paraId="6DC6A023" w14:textId="77777777" w:rsidR="00073B35" w:rsidRDefault="00073B35" w:rsidP="008E22A4">
      <w:pPr>
        <w:jc w:val="both"/>
        <w:rPr>
          <w:b/>
          <w:bCs/>
        </w:rPr>
      </w:pPr>
    </w:p>
    <w:p w14:paraId="59B3BF27" w14:textId="77777777" w:rsidR="00073B35" w:rsidRDefault="00073B35" w:rsidP="008E22A4">
      <w:pPr>
        <w:jc w:val="both"/>
        <w:rPr>
          <w:b/>
          <w:bCs/>
        </w:rPr>
      </w:pPr>
    </w:p>
    <w:p w14:paraId="5D3C1ECF" w14:textId="54261F4F" w:rsidR="00073B35" w:rsidRPr="00073B35" w:rsidRDefault="00073B35" w:rsidP="008E22A4">
      <w:pPr>
        <w:jc w:val="both"/>
        <w:rPr>
          <w:b/>
          <w:bCs/>
        </w:rPr>
      </w:pPr>
    </w:p>
    <w:sectPr w:rsidR="00073B35" w:rsidRPr="00073B35" w:rsidSect="008E22A4">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1D1B" w14:textId="77777777" w:rsidR="0073688E" w:rsidRDefault="0073688E" w:rsidP="00643C6A">
      <w:pPr>
        <w:spacing w:after="0" w:line="240" w:lineRule="auto"/>
      </w:pPr>
      <w:r>
        <w:separator/>
      </w:r>
    </w:p>
  </w:endnote>
  <w:endnote w:type="continuationSeparator" w:id="0">
    <w:p w14:paraId="24744EB9" w14:textId="77777777" w:rsidR="0073688E" w:rsidRDefault="0073688E" w:rsidP="0064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6429084"/>
      <w:docPartObj>
        <w:docPartGallery w:val="Page Numbers (Bottom of Page)"/>
        <w:docPartUnique/>
      </w:docPartObj>
    </w:sdtPr>
    <w:sdtContent>
      <w:p w14:paraId="20EF130C" w14:textId="237A69B7" w:rsidR="00643C6A" w:rsidRDefault="00643C6A" w:rsidP="002A1A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017DA6" w14:textId="77777777" w:rsidR="00643C6A" w:rsidRDefault="00643C6A" w:rsidP="00643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2287" w14:textId="69ECB8D6" w:rsidR="00643C6A" w:rsidRPr="00F873F6" w:rsidRDefault="00643C6A" w:rsidP="00643C6A">
    <w:pPr>
      <w:pStyle w:val="Footer"/>
      <w:ind w:right="360"/>
      <w:rPr>
        <w:color w:val="0AC775"/>
        <w:sz w:val="20"/>
        <w:szCs w:val="20"/>
      </w:rPr>
    </w:pPr>
    <w:r w:rsidRPr="00F873F6">
      <w:rPr>
        <w:color w:val="0AC775"/>
        <w:sz w:val="20"/>
        <w:szCs w:val="20"/>
      </w:rPr>
      <w:tab/>
    </w:r>
  </w:p>
  <w:p w14:paraId="53AAF0FE" w14:textId="77777777" w:rsidR="00643C6A" w:rsidRDefault="00643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1180" w14:textId="77777777" w:rsidR="0073688E" w:rsidRDefault="0073688E" w:rsidP="00643C6A">
      <w:pPr>
        <w:spacing w:after="0" w:line="240" w:lineRule="auto"/>
      </w:pPr>
      <w:r>
        <w:separator/>
      </w:r>
    </w:p>
  </w:footnote>
  <w:footnote w:type="continuationSeparator" w:id="0">
    <w:p w14:paraId="2B4CF2D7" w14:textId="77777777" w:rsidR="0073688E" w:rsidRDefault="0073688E" w:rsidP="00643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089"/>
    <w:multiLevelType w:val="hybridMultilevel"/>
    <w:tmpl w:val="5B425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F3407"/>
    <w:multiLevelType w:val="hybridMultilevel"/>
    <w:tmpl w:val="698A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949675">
    <w:abstractNumId w:val="1"/>
  </w:num>
  <w:num w:numId="2" w16cid:durableId="53323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A4"/>
    <w:rsid w:val="00021EC7"/>
    <w:rsid w:val="00073B35"/>
    <w:rsid w:val="0023073B"/>
    <w:rsid w:val="00273EDC"/>
    <w:rsid w:val="00643C6A"/>
    <w:rsid w:val="00713BF9"/>
    <w:rsid w:val="0073688E"/>
    <w:rsid w:val="007451A7"/>
    <w:rsid w:val="00840B11"/>
    <w:rsid w:val="008E22A4"/>
    <w:rsid w:val="00917998"/>
    <w:rsid w:val="00932480"/>
    <w:rsid w:val="00986AF4"/>
    <w:rsid w:val="00A9080E"/>
    <w:rsid w:val="00BD478F"/>
    <w:rsid w:val="00C43214"/>
    <w:rsid w:val="00E9141D"/>
    <w:rsid w:val="00F873F6"/>
    <w:rsid w:val="00F9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2E3E"/>
  <w15:chartTrackingRefBased/>
  <w15:docId w15:val="{59BC0F86-BC9F-5445-A414-C39C84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2A4"/>
    <w:rPr>
      <w:rFonts w:eastAsiaTheme="majorEastAsia" w:cstheme="majorBidi"/>
      <w:color w:val="272727" w:themeColor="text1" w:themeTint="D8"/>
    </w:rPr>
  </w:style>
  <w:style w:type="paragraph" w:styleId="Title">
    <w:name w:val="Title"/>
    <w:basedOn w:val="Normal"/>
    <w:next w:val="Normal"/>
    <w:link w:val="TitleChar"/>
    <w:uiPriority w:val="10"/>
    <w:qFormat/>
    <w:rsid w:val="008E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2A4"/>
    <w:pPr>
      <w:spacing w:before="160"/>
      <w:jc w:val="center"/>
    </w:pPr>
    <w:rPr>
      <w:i/>
      <w:iCs/>
      <w:color w:val="404040" w:themeColor="text1" w:themeTint="BF"/>
    </w:rPr>
  </w:style>
  <w:style w:type="character" w:customStyle="1" w:styleId="QuoteChar">
    <w:name w:val="Quote Char"/>
    <w:basedOn w:val="DefaultParagraphFont"/>
    <w:link w:val="Quote"/>
    <w:uiPriority w:val="29"/>
    <w:rsid w:val="008E22A4"/>
    <w:rPr>
      <w:i/>
      <w:iCs/>
      <w:color w:val="404040" w:themeColor="text1" w:themeTint="BF"/>
    </w:rPr>
  </w:style>
  <w:style w:type="paragraph" w:styleId="ListParagraph">
    <w:name w:val="List Paragraph"/>
    <w:basedOn w:val="Normal"/>
    <w:uiPriority w:val="34"/>
    <w:qFormat/>
    <w:rsid w:val="008E22A4"/>
    <w:pPr>
      <w:ind w:left="720"/>
      <w:contextualSpacing/>
    </w:pPr>
  </w:style>
  <w:style w:type="character" w:styleId="IntenseEmphasis">
    <w:name w:val="Intense Emphasis"/>
    <w:basedOn w:val="DefaultParagraphFont"/>
    <w:uiPriority w:val="21"/>
    <w:qFormat/>
    <w:rsid w:val="008E22A4"/>
    <w:rPr>
      <w:i/>
      <w:iCs/>
      <w:color w:val="0F4761" w:themeColor="accent1" w:themeShade="BF"/>
    </w:rPr>
  </w:style>
  <w:style w:type="paragraph" w:styleId="IntenseQuote">
    <w:name w:val="Intense Quote"/>
    <w:basedOn w:val="Normal"/>
    <w:next w:val="Normal"/>
    <w:link w:val="IntenseQuoteChar"/>
    <w:uiPriority w:val="30"/>
    <w:qFormat/>
    <w:rsid w:val="008E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2A4"/>
    <w:rPr>
      <w:i/>
      <w:iCs/>
      <w:color w:val="0F4761" w:themeColor="accent1" w:themeShade="BF"/>
    </w:rPr>
  </w:style>
  <w:style w:type="character" w:styleId="IntenseReference">
    <w:name w:val="Intense Reference"/>
    <w:basedOn w:val="DefaultParagraphFont"/>
    <w:uiPriority w:val="32"/>
    <w:qFormat/>
    <w:rsid w:val="008E22A4"/>
    <w:rPr>
      <w:b/>
      <w:bCs/>
      <w:smallCaps/>
      <w:color w:val="0F4761" w:themeColor="accent1" w:themeShade="BF"/>
      <w:spacing w:val="5"/>
    </w:rPr>
  </w:style>
  <w:style w:type="paragraph" w:styleId="Header">
    <w:name w:val="header"/>
    <w:basedOn w:val="Normal"/>
    <w:link w:val="HeaderChar"/>
    <w:uiPriority w:val="99"/>
    <w:unhideWhenUsed/>
    <w:rsid w:val="00643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C6A"/>
  </w:style>
  <w:style w:type="paragraph" w:styleId="Footer">
    <w:name w:val="footer"/>
    <w:basedOn w:val="Normal"/>
    <w:link w:val="FooterChar"/>
    <w:uiPriority w:val="99"/>
    <w:unhideWhenUsed/>
    <w:rsid w:val="00643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C6A"/>
  </w:style>
  <w:style w:type="character" w:styleId="PageNumber">
    <w:name w:val="page number"/>
    <w:basedOn w:val="DefaultParagraphFont"/>
    <w:uiPriority w:val="99"/>
    <w:semiHidden/>
    <w:unhideWhenUsed/>
    <w:rsid w:val="00643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Waters</dc:creator>
  <cp:keywords/>
  <dc:description/>
  <cp:lastModifiedBy>Brian Waters</cp:lastModifiedBy>
  <cp:revision>3</cp:revision>
  <cp:lastPrinted>2026-04-22T20:35:00Z</cp:lastPrinted>
  <dcterms:created xsi:type="dcterms:W3CDTF">2026-04-24T18:44:00Z</dcterms:created>
  <dcterms:modified xsi:type="dcterms:W3CDTF">2026-04-24T18:48:00Z</dcterms:modified>
</cp:coreProperties>
</file>